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
      </w:pPr>
      <w:r>
        <w:rPr>
          <w:rFonts w:ascii="Arial" w:cs="Arial" w:eastAsia="Arial" w:hAnsi="Arial"/>
          <w:b/>
          <w:bCs/>
          <w:color w:val="059669"/>
          <w:sz w:val="20"/>
          <w:szCs w:val="20"/>
        </w:rPr>
        <w:t xml:space="preserve">etatdate.fr</w:t>
      </w:r>
    </w:p>
    <w:p>
      <w:pPr>
        <w:spacing w:after="80" w:before="120"/>
      </w:pPr>
      <w:r>
        <w:rPr>
          <w:rFonts w:ascii="Arial" w:cs="Arial" w:eastAsia="Arial" w:hAnsi="Arial"/>
          <w:b/>
          <w:bCs/>
          <w:color w:val="0E1F3A"/>
          <w:sz w:val="40"/>
          <w:szCs w:val="40"/>
        </w:rPr>
        <w:t xml:space="preserve">Modèle d'état daté</w:t>
      </w:r>
    </w:p>
    <w:p>
      <w:pPr>
        <w:spacing w:after="60" w:before="60"/>
      </w:pPr>
      <w:r>
        <w:rPr>
          <w:rFonts w:ascii="Arial" w:cs="Arial" w:eastAsia="Arial" w:hAnsi="Arial"/>
          <w:color w:val="356098"/>
          <w:sz w:val="20"/>
          <w:szCs w:val="20"/>
        </w:rPr>
        <w:t xml:space="preserve">Document établi par le syndic et adressé au notaire avant la signature de l'acte de vente d'un lot de copropriété</w:t>
      </w:r>
    </w:p>
    <w:p>
      <w:pPr>
        <w:spacing w:after="240" w:before="60"/>
      </w:pPr>
      <w:r>
        <w:rPr>
          <w:rFonts w:ascii="Arial" w:cs="Arial" w:eastAsia="Arial" w:hAnsi="Arial"/>
          <w:color w:val="356098"/>
          <w:sz w:val="16"/>
          <w:szCs w:val="16"/>
        </w:rPr>
        <w:t xml:space="preserve">Référence : Article 5 du décret n° 67-223 du 17 mars 1967 (version en vigueur depuis le 25 décembre 2025, décret n° 2025-1292)</w:t>
      </w:r>
    </w:p>
    <w:p>
      <w:pPr>
        <w:pBdr>
          <w:left w:val="single" w:color="0E1F3A" w:sz="24" w:space="4"/>
        </w:pBdr>
        <w:shd w:fill="0E1F3A" w:color="auto" w:val="clear"/>
        <w:spacing w:after="120" w:before="320"/>
      </w:pPr>
      <w:r>
        <w:rPr>
          <w:rFonts w:ascii="Arial" w:cs="Arial" w:eastAsia="Arial" w:hAnsi="Arial"/>
          <w:b/>
          <w:bCs/>
          <w:color w:val="FFFFFF"/>
          <w:sz w:val="22"/>
          <w:szCs w:val="22"/>
        </w:rPr>
        <w:t xml:space="preserve">Identification</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Adresse de l'immeuble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N° d'immatriculation au registre national des copropriétés</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Syndic (nom, adresse)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Copropriétaire vendeur (nom, adresse)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Notaire chargé de l'acte (nom, adresse, référence)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Date de la demande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Date prévue de l'acte</w:t>
            </w:r>
          </w:p>
        </w:tc>
        <w:tc>
          <w:tcPr>
            <w:tcW w:type="pct" w:w="1900"/>
          </w:tcPr>
          <w:p>
            <w:pPr>
              <w:spacing w:after="40" w:before="40"/>
            </w:pPr>
            <w:r>
              <w:rPr>
                <w:rFonts w:ascii="Arial" w:cs="Arial" w:eastAsia="Arial" w:hAnsi="Arial"/>
                <w:color w:val="356098"/>
                <w:sz w:val="19"/>
                <w:szCs w:val="19"/>
              </w:rPr>
              <w:t xml:space="preserve">…………………………</w:t>
            </w:r>
          </w:p>
        </w:tc>
      </w:tr>
    </w:tbl>
    <w:p>
      <w:pPr>
        <w:spacing w:after="60" w:before="160"/>
      </w:pPr>
      <w:r>
        <w:rPr>
          <w:rFonts w:ascii="Arial" w:cs="Arial" w:eastAsia="Arial" w:hAnsi="Arial"/>
          <w:b/>
          <w:bCs/>
          <w:color w:val="0E1F3A"/>
          <w:sz w:val="19"/>
          <w:szCs w:val="19"/>
        </w:rPr>
        <w:t xml:space="preserve">Lot(s) objet(s) de la vente</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2527"/>
        <w:gridCol w:w="2527"/>
        <w:gridCol w:w="2527"/>
        <w:gridCol w:w="2527"/>
      </w:tblGrid>
      <w:tr>
        <w:trPr>
          <w:tblHeader/>
        </w:trPr>
        <w:tc>
          <w:tcPr>
            <w:shd w:fill="F4F8FC" w:color="auto" w:val="clear"/>
          </w:tcPr>
          <w:p>
            <w:pPr>
              <w:spacing w:after="40" w:before="40"/>
            </w:pPr>
            <w:r>
              <w:rPr>
                <w:rFonts w:ascii="Arial" w:cs="Arial" w:eastAsia="Arial" w:hAnsi="Arial"/>
                <w:b/>
                <w:bCs/>
                <w:color w:val="356098"/>
                <w:sz w:val="16"/>
                <w:szCs w:val="16"/>
              </w:rPr>
              <w:t xml:space="preserve">N° de lot</w:t>
            </w:r>
          </w:p>
        </w:tc>
        <w:tc>
          <w:tcPr>
            <w:shd w:fill="F4F8FC" w:color="auto" w:val="clear"/>
          </w:tcPr>
          <w:p>
            <w:pPr>
              <w:spacing w:after="40" w:before="40"/>
            </w:pPr>
            <w:r>
              <w:rPr>
                <w:rFonts w:ascii="Arial" w:cs="Arial" w:eastAsia="Arial" w:hAnsi="Arial"/>
                <w:b/>
                <w:bCs/>
                <w:color w:val="356098"/>
                <w:sz w:val="16"/>
                <w:szCs w:val="16"/>
              </w:rPr>
              <w:t xml:space="preserve">Nature (appartement, cave, parking…)</w:t>
            </w:r>
          </w:p>
        </w:tc>
        <w:tc>
          <w:tcPr>
            <w:shd w:fill="F4F8FC" w:color="auto" w:val="clear"/>
          </w:tcPr>
          <w:p>
            <w:pPr>
              <w:spacing w:after="40" w:before="40"/>
            </w:pPr>
            <w:r>
              <w:rPr>
                <w:rFonts w:ascii="Arial" w:cs="Arial" w:eastAsia="Arial" w:hAnsi="Arial"/>
                <w:b/>
                <w:bCs/>
                <w:color w:val="356098"/>
                <w:sz w:val="16"/>
                <w:szCs w:val="16"/>
              </w:rPr>
              <w:t xml:space="preserve">Bâtiment / étage</w:t>
            </w:r>
          </w:p>
        </w:tc>
        <w:tc>
          <w:tcPr>
            <w:shd w:fill="F4F8FC" w:color="auto" w:val="clear"/>
          </w:tcPr>
          <w:p>
            <w:pPr>
              <w:spacing w:after="40" w:before="40"/>
            </w:pPr>
            <w:r>
              <w:rPr>
                <w:rFonts w:ascii="Arial" w:cs="Arial" w:eastAsia="Arial" w:hAnsi="Arial"/>
                <w:b/>
                <w:bCs/>
                <w:color w:val="356098"/>
                <w:sz w:val="16"/>
                <w:szCs w:val="16"/>
              </w:rPr>
              <w:t xml:space="preserve">Tantièmes généraux</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Nature de la mutation et du syndicat</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Mutation</w:t>
            </w:r>
          </w:p>
        </w:tc>
        <w:tc>
          <w:tcPr>
            <w:tcW w:type="pct" w:w="2500"/>
          </w:tcPr>
          <w:p>
            <w:pPr>
              <w:spacing w:after="40" w:before="40"/>
            </w:pPr>
            <w:r>
              <w:rPr>
                <w:rFonts w:ascii="Arial" w:cs="Arial" w:eastAsia="Arial" w:hAnsi="Arial"/>
                <w:color w:val="0E1F3A"/>
                <w:sz w:val="19"/>
                <w:szCs w:val="19"/>
              </w:rPr>
              <w:t xml:space="preserve">☐ À titre onéreux     ☐ À titre gratuit</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Syndicat</w:t>
            </w:r>
          </w:p>
        </w:tc>
        <w:tc>
          <w:tcPr>
            <w:tcW w:type="pct" w:w="2500"/>
          </w:tcPr>
          <w:p>
            <w:pPr>
              <w:spacing w:after="40" w:before="40"/>
            </w:pPr>
            <w:r>
              <w:rPr>
                <w:rFonts w:ascii="Arial" w:cs="Arial" w:eastAsia="Arial" w:hAnsi="Arial"/>
                <w:color w:val="0E1F3A"/>
                <w:sz w:val="19"/>
                <w:szCs w:val="19"/>
              </w:rPr>
              <w:t xml:space="preserve">☐ Unique     ☐ Principal     ☐ Secondaire</w:t>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1re partie — Sommes dues par le copropriétaire cédant au syndicat</w:t>
      </w:r>
      <w:r>
        <w:rPr>
          <w:rFonts w:ascii="Arial" w:cs="Arial" w:eastAsia="Arial" w:hAnsi="Arial"/>
          <w:color w:val="CCDCF0"/>
          <w:sz w:val="15"/>
          <w:szCs w:val="15"/>
        </w:rPr>
        <w:t xml:space="preserve">   Décret 1967, art. 5, 1°</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a) Provisions exigibles du budget prévisionnel</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b) Provisions exigibles des dépenses hors budget prévisionnel</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c) Charges impayées sur les exercices antérieurs</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d) Sommes mentionnées à l'article 33 de la loi du 10 juillet 1965</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e) Avances exigibles — avances constituant la réserve</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e) Avances exigibles — provisions spéciales (art. 18 loi 1965)</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e) Avances exigibles — avances représentant un emprunt (art. 45-1)</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f) Montant restant dû au titre de l'emprunt collectif (art. 26-4 loi 1965)</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g) Montant versé par l'organisme de caution (art. 26-7 et 26-12 loi 1965)</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Honoraires du syndic pour l'état daté, à la charge du vendeur (plafond 380 € TTC)</w:t>
            </w:r>
          </w:p>
        </w:tc>
        <w:tc>
          <w:tcPr>
            <w:tcW w:type="pct" w:w="1900"/>
          </w:tcPr>
          <w:p>
            <w:pPr>
              <w:spacing w:after="40" w:before="40"/>
              <w:jc w:val="right"/>
            </w:pPr>
            <w:r>
              <w:rPr>
                <w:rFonts w:ascii="Arial" w:cs="Arial" w:eastAsia="Arial" w:hAnsi="Arial"/>
                <w:color w:val="356098"/>
                <w:sz w:val="19"/>
                <w:szCs w:val="19"/>
              </w:rPr>
              <w:t xml:space="preserve">…………………………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shd w:fill="F4F8FC" w:color="auto" w:val="clear"/>
          </w:tcPr>
          <w:p>
            <w:pPr>
              <w:spacing w:after="40" w:before="40"/>
            </w:pPr>
            <w:r>
              <w:rPr>
                <w:rFonts w:ascii="Arial" w:cs="Arial" w:eastAsia="Arial" w:hAnsi="Arial"/>
                <w:b/>
                <w:bCs/>
                <w:color w:val="0E1F3A"/>
                <w:sz w:val="19"/>
                <w:szCs w:val="19"/>
              </w:rPr>
              <w:t xml:space="preserve">Total de la 1re partie</w:t>
            </w:r>
          </w:p>
        </w:tc>
        <w:tc>
          <w:tcPr>
            <w:tcW w:type="pct" w:w="1900"/>
            <w:shd w:fill="F4F8FC" w:color="auto" w:val="clear"/>
          </w:tcPr>
          <w:p>
            <w:pPr>
              <w:spacing w:after="40" w:before="40"/>
              <w:jc w:val="right"/>
            </w:pPr>
            <w:r>
              <w:rPr>
                <w:rFonts w:ascii="Arial" w:cs="Arial" w:eastAsia="Arial" w:hAnsi="Arial"/>
                <w:b/>
                <w:bCs/>
                <w:color w:val="0E1F3A"/>
                <w:sz w:val="19"/>
                <w:szCs w:val="19"/>
              </w:rPr>
              <w:t xml:space="preserve">………………………… €</w:t>
            </w:r>
          </w:p>
        </w:tc>
      </w:tr>
    </w:tbl>
    <w:p>
      <w:pPr>
        <w:spacing w:after="120" w:before="80"/>
      </w:pPr>
      <w:r>
        <w:rPr>
          <w:rFonts w:ascii="Arial" w:cs="Arial" w:eastAsia="Arial" w:hAnsi="Arial"/>
          <w:i/>
          <w:iCs/>
          <w:color w:val="356098"/>
          <w:sz w:val="16"/>
          <w:szCs w:val="16"/>
        </w:rPr>
        <w:t xml:space="preserve">Montants indiqués, même de manière approximative, sous réserve de l'apurement des comptes. À porter à la connaissance des créanciers inscrits le cas échéant.</w:t>
      </w:r>
    </w:p>
    <w:p>
      <w:pPr>
        <w:pBdr>
          <w:left w:val="single" w:color="0E1F3A" w:sz="24" w:space="4"/>
        </w:pBdr>
        <w:shd w:fill="0E1F3A" w:color="auto" w:val="clear"/>
        <w:spacing w:after="120" w:before="320"/>
      </w:pPr>
      <w:r>
        <w:rPr>
          <w:rFonts w:ascii="Arial" w:cs="Arial" w:eastAsia="Arial" w:hAnsi="Arial"/>
          <w:b/>
          <w:bCs/>
          <w:color w:val="FFFFFF"/>
          <w:sz w:val="22"/>
          <w:szCs w:val="22"/>
        </w:rPr>
        <w:t xml:space="preserve">2e partie — Sommes dont le syndicat pourrait être débiteur envers le cédant</w:t>
      </w:r>
      <w:r>
        <w:rPr>
          <w:rFonts w:ascii="Arial" w:cs="Arial" w:eastAsia="Arial" w:hAnsi="Arial"/>
          <w:color w:val="CCDCF0"/>
          <w:sz w:val="15"/>
          <w:szCs w:val="15"/>
        </w:rPr>
        <w:t xml:space="preserve">   Décret 1967, art. 5, 2°</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a) Avances (art. 45-1) — avances constituant la réserve</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a) Avances (art. 45-1) — provisions spéciales</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a) Avances (art. 45-1) — avances représentant un emprunt</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b) Provisions postérieures rendues exigibles (déchéance du terme, art. 19-2)</w:t>
            </w:r>
          </w:p>
        </w:tc>
        <w:tc>
          <w:tcPr>
            <w:tcW w:type="pct" w:w="1900"/>
          </w:tcPr>
          <w:p>
            <w:pPr>
              <w:spacing w:after="40" w:before="40"/>
              <w:jc w:val="right"/>
            </w:pPr>
            <w:r>
              <w:rPr>
                <w:rFonts w:ascii="Arial" w:cs="Arial" w:eastAsia="Arial" w:hAnsi="Arial"/>
                <w:color w:val="356098"/>
                <w:sz w:val="19"/>
                <w:szCs w:val="19"/>
              </w:rPr>
              <w:t xml:space="preserve">…………………………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shd w:fill="F4F8FC" w:color="auto" w:val="clear"/>
          </w:tcPr>
          <w:p>
            <w:pPr>
              <w:spacing w:after="40" w:before="40"/>
            </w:pPr>
            <w:r>
              <w:rPr>
                <w:rFonts w:ascii="Arial" w:cs="Arial" w:eastAsia="Arial" w:hAnsi="Arial"/>
                <w:b/>
                <w:bCs/>
                <w:color w:val="0E1F3A"/>
                <w:sz w:val="19"/>
                <w:szCs w:val="19"/>
              </w:rPr>
              <w:t xml:space="preserve">Total de la 2e partie</w:t>
            </w:r>
          </w:p>
        </w:tc>
        <w:tc>
          <w:tcPr>
            <w:tcW w:type="pct" w:w="1900"/>
            <w:shd w:fill="F4F8FC" w:color="auto" w:val="clear"/>
          </w:tcPr>
          <w:p>
            <w:pPr>
              <w:spacing w:after="40" w:before="40"/>
              <w:jc w:val="right"/>
            </w:pPr>
            <w:r>
              <w:rPr>
                <w:rFonts w:ascii="Arial" w:cs="Arial" w:eastAsia="Arial" w:hAnsi="Arial"/>
                <w:b/>
                <w:bCs/>
                <w:color w:val="0E1F3A"/>
                <w:sz w:val="19"/>
                <w:szCs w:val="19"/>
              </w:rPr>
              <w:t xml:space="preserve">…………………………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Remboursement des avances</w:t>
            </w:r>
          </w:p>
        </w:tc>
        <w:tc>
          <w:tcPr>
            <w:tcW w:type="pct" w:w="2500"/>
          </w:tcPr>
          <w:p>
            <w:pPr>
              <w:spacing w:after="40" w:before="40"/>
            </w:pPr>
            <w:r>
              <w:rPr>
                <w:rFonts w:ascii="Arial" w:cs="Arial" w:eastAsia="Arial" w:hAnsi="Arial"/>
                <w:color w:val="0E1F3A"/>
                <w:sz w:val="19"/>
                <w:szCs w:val="19"/>
              </w:rPr>
              <w:t xml:space="preserve">☐ L'acquéreur rembourse directement le vendeur     ☐ L'acquéreur verse au syndic, qui rembourse le vendeur</w:t>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3e partie — Sommes qui devraient incomber au nouveau copropriétaire</w:t>
      </w:r>
      <w:r>
        <w:rPr>
          <w:rFonts w:ascii="Arial" w:cs="Arial" w:eastAsia="Arial" w:hAnsi="Arial"/>
          <w:color w:val="CCDCF0"/>
          <w:sz w:val="15"/>
          <w:szCs w:val="15"/>
        </w:rPr>
        <w:t xml:space="preserve">   Décret 1967, art. 5, 3°</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a) Reconstitution des avances (art. 45-1)</w:t>
            </w:r>
          </w:p>
        </w:tc>
        <w:tc>
          <w:tcPr>
            <w:tcW w:type="pct" w:w="1900"/>
          </w:tcPr>
          <w:p>
            <w:pPr>
              <w:spacing w:after="40" w:before="40"/>
              <w:jc w:val="right"/>
            </w:pPr>
            <w:r>
              <w:rPr>
                <w:rFonts w:ascii="Arial" w:cs="Arial" w:eastAsia="Arial" w:hAnsi="Arial"/>
                <w:color w:val="356098"/>
                <w:sz w:val="19"/>
                <w:szCs w:val="19"/>
              </w:rPr>
              <w:t xml:space="preserve">………………………… €</w:t>
            </w:r>
          </w:p>
        </w:tc>
      </w:tr>
    </w:tbl>
    <w:p>
      <w:pPr>
        <w:spacing w:after="60" w:before="160"/>
      </w:pPr>
      <w:r>
        <w:rPr>
          <w:rFonts w:ascii="Arial" w:cs="Arial" w:eastAsia="Arial" w:hAnsi="Arial"/>
          <w:b/>
          <w:bCs/>
          <w:color w:val="0E1F3A"/>
          <w:sz w:val="19"/>
          <w:szCs w:val="19"/>
        </w:rPr>
        <w:t xml:space="preserve">b) Provisions non encore exigibles du budget prévisionnel</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rPr>
          <w:tblHeader/>
        </w:trPr>
        <w:tc>
          <w:tcPr>
            <w:shd w:fill="F4F8FC" w:color="auto" w:val="clear"/>
          </w:tcPr>
          <w:p>
            <w:pPr>
              <w:spacing w:after="40" w:before="40"/>
            </w:pPr>
            <w:r>
              <w:rPr>
                <w:rFonts w:ascii="Arial" w:cs="Arial" w:eastAsia="Arial" w:hAnsi="Arial"/>
                <w:b/>
                <w:bCs/>
                <w:color w:val="356098"/>
                <w:sz w:val="16"/>
                <w:szCs w:val="16"/>
              </w:rPr>
              <w:t xml:space="preserve">Date d'exigibilité</w:t>
            </w:r>
          </w:p>
        </w:tc>
        <w:tc>
          <w:tcPr>
            <w:shd w:fill="F4F8FC" w:color="auto" w:val="clear"/>
          </w:tcPr>
          <w:p>
            <w:pPr>
              <w:spacing w:after="40" w:before="40"/>
            </w:pPr>
            <w:r>
              <w:rPr>
                <w:rFonts w:ascii="Arial" w:cs="Arial" w:eastAsia="Arial" w:hAnsi="Arial"/>
                <w:b/>
                <w:bCs/>
                <w:color w:val="356098"/>
                <w:sz w:val="16"/>
                <w:szCs w:val="16"/>
              </w:rPr>
              <w:t xml:space="preserve">Montant</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tcPr>
            <w:shd w:fill="F4F8FC" w:color="auto" w:val="clear"/>
          </w:tcPr>
          <w:p>
            <w:pPr>
              <w:spacing w:after="40" w:before="40"/>
              <w:jc w:val="right"/>
            </w:pPr>
            <w:r>
              <w:rPr>
                <w:rFonts w:ascii="Arial" w:cs="Arial" w:eastAsia="Arial" w:hAnsi="Arial"/>
                <w:b/>
                <w:bCs/>
                <w:color w:val="0E1F3A"/>
                <w:sz w:val="19"/>
                <w:szCs w:val="19"/>
              </w:rPr>
              <w:t xml:space="preserve">Total</w:t>
            </w:r>
          </w:p>
        </w:tc>
        <w:tc>
          <w:tcPr>
            <w:shd w:fill="F4F8FC" w:color="auto" w:val="clear"/>
          </w:tcPr>
          <w:p>
            <w:pPr>
              <w:spacing w:after="40" w:before="40"/>
              <w:jc w:val="right"/>
            </w:pPr>
            <w:r>
              <w:rPr>
                <w:rFonts w:ascii="Arial" w:cs="Arial" w:eastAsia="Arial" w:hAnsi="Arial"/>
                <w:b/>
                <w:bCs/>
                <w:color w:val="0E1F3A"/>
                <w:sz w:val="19"/>
                <w:szCs w:val="19"/>
              </w:rPr>
              <w:t xml:space="preserve">€</w:t>
            </w:r>
          </w:p>
        </w:tc>
      </w:tr>
    </w:tbl>
    <w:p>
      <w:pPr>
        <w:spacing w:after="60" w:before="160"/>
      </w:pPr>
      <w:r>
        <w:rPr>
          <w:rFonts w:ascii="Arial" w:cs="Arial" w:eastAsia="Arial" w:hAnsi="Arial"/>
          <w:b/>
          <w:bCs/>
          <w:color w:val="0E1F3A"/>
          <w:sz w:val="19"/>
          <w:szCs w:val="19"/>
        </w:rPr>
        <w:t xml:space="preserve">c) Provisions non encore exigibles hors budget prévisionnel</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3369"/>
        <w:gridCol w:w="3369"/>
        <w:gridCol w:w="3369"/>
      </w:tblGrid>
      <w:tr>
        <w:trPr>
          <w:tblHeader/>
        </w:trPr>
        <w:tc>
          <w:tcPr>
            <w:shd w:fill="F4F8FC" w:color="auto" w:val="clear"/>
          </w:tcPr>
          <w:p>
            <w:pPr>
              <w:spacing w:after="40" w:before="40"/>
            </w:pPr>
            <w:r>
              <w:rPr>
                <w:rFonts w:ascii="Arial" w:cs="Arial" w:eastAsia="Arial" w:hAnsi="Arial"/>
                <w:b/>
                <w:bCs/>
                <w:color w:val="356098"/>
                <w:sz w:val="16"/>
                <w:szCs w:val="16"/>
              </w:rPr>
              <w:t xml:space="preserve">Date d'exigibilité</w:t>
            </w:r>
          </w:p>
        </w:tc>
        <w:tc>
          <w:tcPr>
            <w:shd w:fill="F4F8FC" w:color="auto" w:val="clear"/>
          </w:tcPr>
          <w:p>
            <w:pPr>
              <w:spacing w:after="40" w:before="40"/>
            </w:pPr>
            <w:r>
              <w:rPr>
                <w:rFonts w:ascii="Arial" w:cs="Arial" w:eastAsia="Arial" w:hAnsi="Arial"/>
                <w:b/>
                <w:bCs/>
                <w:color w:val="356098"/>
                <w:sz w:val="16"/>
                <w:szCs w:val="16"/>
              </w:rPr>
              <w:t xml:space="preserve">Objet des travaux</w:t>
            </w:r>
          </w:p>
        </w:tc>
        <w:tc>
          <w:tcPr>
            <w:shd w:fill="F4F8FC" w:color="auto" w:val="clear"/>
          </w:tcPr>
          <w:p>
            <w:pPr>
              <w:spacing w:after="40" w:before="40"/>
            </w:pPr>
            <w:r>
              <w:rPr>
                <w:rFonts w:ascii="Arial" w:cs="Arial" w:eastAsia="Arial" w:hAnsi="Arial"/>
                <w:b/>
                <w:bCs/>
                <w:color w:val="356098"/>
                <w:sz w:val="16"/>
                <w:szCs w:val="16"/>
              </w:rPr>
              <w:t xml:space="preserve">Montant</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tcPr>
            <w:shd w:fill="F4F8FC" w:color="auto" w:val="clear"/>
          </w:tcPr>
          <w:p>
            <w:pPr>
              <w:spacing w:after="40" w:before="40"/>
              <w:jc w:val="right"/>
            </w:pPr>
            <w:r>
              <w:rPr>
                <w:rFonts w:ascii="Arial" w:cs="Arial" w:eastAsia="Arial" w:hAnsi="Arial"/>
                <w:b/>
                <w:bCs/>
                <w:color w:val="0E1F3A"/>
                <w:sz w:val="19"/>
                <w:szCs w:val="19"/>
              </w:rPr>
              <w:t xml:space="preserve"/>
            </w:r>
          </w:p>
        </w:tc>
        <w:tc>
          <w:tcPr>
            <w:shd w:fill="F4F8FC" w:color="auto" w:val="clear"/>
          </w:tcPr>
          <w:p>
            <w:pPr>
              <w:spacing w:after="40" w:before="40"/>
              <w:jc w:val="right"/>
            </w:pPr>
            <w:r>
              <w:rPr>
                <w:rFonts w:ascii="Arial" w:cs="Arial" w:eastAsia="Arial" w:hAnsi="Arial"/>
                <w:b/>
                <w:bCs/>
                <w:color w:val="0E1F3A"/>
                <w:sz w:val="19"/>
                <w:szCs w:val="19"/>
              </w:rPr>
              <w:t xml:space="preserve">Total</w:t>
            </w:r>
          </w:p>
        </w:tc>
        <w:tc>
          <w:tcPr>
            <w:shd w:fill="F4F8FC" w:color="auto" w:val="clear"/>
          </w:tcPr>
          <w:p>
            <w:pPr>
              <w:spacing w:after="40" w:before="40"/>
              <w:jc w:val="right"/>
            </w:pPr>
            <w:r>
              <w:rPr>
                <w:rFonts w:ascii="Arial" w:cs="Arial" w:eastAsia="Arial" w:hAnsi="Arial"/>
                <w:b/>
                <w:bCs/>
                <w:color w:val="0E1F3A"/>
                <w:sz w:val="19"/>
                <w:szCs w:val="19"/>
              </w:rPr>
              <w:t xml:space="preserve">€</w:t>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Annexe à la 3e partie</w:t>
      </w:r>
      <w:r>
        <w:rPr>
          <w:rFonts w:ascii="Arial" w:cs="Arial" w:eastAsia="Arial" w:hAnsi="Arial"/>
          <w:color w:val="CCDCF0"/>
          <w:sz w:val="15"/>
          <w:szCs w:val="15"/>
        </w:rPr>
        <w:t xml:space="preserve">   Décret 1967, art. 5, dernier alinéa</w:t>
      </w:r>
    </w:p>
    <w:p>
      <w:pPr>
        <w:spacing w:after="60" w:before="160"/>
      </w:pPr>
      <w:r>
        <w:rPr>
          <w:rFonts w:ascii="Arial" w:cs="Arial" w:eastAsia="Arial" w:hAnsi="Arial"/>
          <w:b/>
          <w:bCs/>
          <w:color w:val="0E1F3A"/>
          <w:sz w:val="19"/>
          <w:szCs w:val="19"/>
        </w:rPr>
        <w:t xml:space="preserve">Quote-part du lot sur les deux exercices précédents</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3369"/>
        <w:gridCol w:w="3369"/>
        <w:gridCol w:w="3369"/>
      </w:tblGrid>
      <w:tr>
        <w:trPr>
          <w:tblHeader/>
        </w:trPr>
        <w:tc>
          <w:tcPr>
            <w:shd w:fill="F4F8FC" w:color="auto" w:val="clear"/>
          </w:tcPr>
          <w:p>
            <w:pPr>
              <w:spacing w:after="40" w:before="40"/>
            </w:pPr>
            <w:r>
              <w:rPr>
                <w:rFonts w:ascii="Arial" w:cs="Arial" w:eastAsia="Arial" w:hAnsi="Arial"/>
                <w:b/>
                <w:bCs/>
                <w:color w:val="356098"/>
                <w:sz w:val="16"/>
                <w:szCs w:val="16"/>
              </w:rPr>
              <w:t xml:space="preserve">Exercice</w:t>
            </w:r>
          </w:p>
        </w:tc>
        <w:tc>
          <w:tcPr>
            <w:shd w:fill="F4F8FC" w:color="auto" w:val="clear"/>
          </w:tcPr>
          <w:p>
            <w:pPr>
              <w:spacing w:after="40" w:before="40"/>
            </w:pPr>
            <w:r>
              <w:rPr>
                <w:rFonts w:ascii="Arial" w:cs="Arial" w:eastAsia="Arial" w:hAnsi="Arial"/>
                <w:b/>
                <w:bCs/>
                <w:color w:val="356098"/>
                <w:sz w:val="16"/>
                <w:szCs w:val="16"/>
              </w:rPr>
              <w:t xml:space="preserve">Budget prévisionnel</w:t>
            </w:r>
          </w:p>
        </w:tc>
        <w:tc>
          <w:tcPr>
            <w:shd w:fill="F4F8FC" w:color="auto" w:val="clear"/>
          </w:tcPr>
          <w:p>
            <w:pPr>
              <w:spacing w:after="40" w:before="40"/>
            </w:pPr>
            <w:r>
              <w:rPr>
                <w:rFonts w:ascii="Arial" w:cs="Arial" w:eastAsia="Arial" w:hAnsi="Arial"/>
                <w:b/>
                <w:bCs/>
                <w:color w:val="356098"/>
                <w:sz w:val="16"/>
                <w:szCs w:val="16"/>
              </w:rPr>
              <w:t xml:space="preserve">Dépenses hors budget</w:t>
            </w:r>
          </w:p>
        </w:tc>
      </w:tr>
      <w:tr>
        <w:tc>
          <w:p>
            <w:pPr>
              <w:spacing w:after="40" w:before="40"/>
            </w:pPr>
            <w:r>
              <w:rPr>
                <w:rFonts w:ascii="Arial" w:cs="Arial" w:eastAsia="Arial" w:hAnsi="Arial"/>
                <w:color w:val="0E1F3A"/>
                <w:sz w:val="19"/>
                <w:szCs w:val="19"/>
              </w:rPr>
              <w:t xml:space="preserve">Exercice N-1</w:t>
            </w:r>
          </w:p>
        </w:tc>
        <w:tc>
          <w:p>
            <w:pPr>
              <w:spacing w:after="40" w:before="40"/>
              <w:jc w:val="right"/>
            </w:pPr>
            <w:r>
              <w:rPr>
                <w:rFonts w:ascii="Arial" w:cs="Arial" w:eastAsia="Arial" w:hAnsi="Arial"/>
                <w:color w:val="356098"/>
                <w:sz w:val="19"/>
                <w:szCs w:val="19"/>
              </w:rPr>
              <w:t xml:space="preserve">€</w:t>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Exercice N-2</w:t>
            </w:r>
          </w:p>
        </w:tc>
        <w:tc>
          <w:p>
            <w:pPr>
              <w:spacing w:after="40" w:before="40"/>
              <w:jc w:val="right"/>
            </w:pPr>
            <w:r>
              <w:rPr>
                <w:rFonts w:ascii="Arial" w:cs="Arial" w:eastAsia="Arial" w:hAnsi="Arial"/>
                <w:color w:val="356098"/>
                <w:sz w:val="19"/>
                <w:szCs w:val="19"/>
              </w:rPr>
              <w:t xml:space="preserve">€</w:t>
            </w:r>
          </w:p>
        </w:tc>
        <w:tc>
          <w:p>
            <w:pPr>
              <w:spacing w:after="40" w:before="40"/>
              <w:jc w:val="right"/>
            </w:pPr>
            <w:r>
              <w:rPr>
                <w:rFonts w:ascii="Arial" w:cs="Arial" w:eastAsia="Arial" w:hAnsi="Arial"/>
                <w:color w:val="356098"/>
                <w:sz w:val="19"/>
                <w:szCs w:val="19"/>
              </w:rPr>
              <w:t xml:space="preserve">€</w:t>
            </w:r>
          </w:p>
        </w:tc>
      </w:tr>
    </w:tbl>
    <w:p>
      <w:pPr>
        <w:spacing w:after="60" w:before="160"/>
      </w:pPr>
      <w:r>
        <w:rPr>
          <w:rFonts w:ascii="Arial" w:cs="Arial" w:eastAsia="Arial" w:hAnsi="Arial"/>
          <w:b/>
          <w:bCs/>
          <w:color w:val="0E1F3A"/>
          <w:sz w:val="19"/>
          <w:szCs w:val="19"/>
        </w:rPr>
        <w:t xml:space="preserve">Procédures en cours dans lesquelles le syndicat est partie</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rPr>
          <w:tblHeader/>
        </w:trPr>
        <w:tc>
          <w:tcPr>
            <w:shd w:fill="F4F8FC" w:color="auto" w:val="clear"/>
          </w:tcPr>
          <w:p>
            <w:pPr>
              <w:spacing w:after="40" w:before="40"/>
            </w:pPr>
            <w:r>
              <w:rPr>
                <w:rFonts w:ascii="Arial" w:cs="Arial" w:eastAsia="Arial" w:hAnsi="Arial"/>
                <w:b/>
                <w:bCs/>
                <w:color w:val="356098"/>
                <w:sz w:val="16"/>
                <w:szCs w:val="16"/>
              </w:rPr>
              <w:t xml:space="preserve">Objet</w:t>
            </w:r>
          </w:p>
        </w:tc>
        <w:tc>
          <w:tcPr>
            <w:shd w:fill="F4F8FC" w:color="auto" w:val="clear"/>
          </w:tcPr>
          <w:p>
            <w:pPr>
              <w:spacing w:after="40" w:before="40"/>
            </w:pPr>
            <w:r>
              <w:rPr>
                <w:rFonts w:ascii="Arial" w:cs="Arial" w:eastAsia="Arial" w:hAnsi="Arial"/>
                <w:b/>
                <w:bCs/>
                <w:color w:val="356098"/>
                <w:sz w:val="16"/>
                <w:szCs w:val="16"/>
              </w:rPr>
              <w:t xml:space="preserve">État de la procédure</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Informations complémentaires</w:t>
      </w:r>
      <w:r>
        <w:rPr>
          <w:rFonts w:ascii="Arial" w:cs="Arial" w:eastAsia="Arial" w:hAnsi="Arial"/>
          <w:color w:val="CCDCF0"/>
          <w:sz w:val="15"/>
          <w:szCs w:val="15"/>
        </w:rPr>
        <w:t xml:space="preserve">   CCH art. L.721-2 et loi 1965, art. 20</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Impayés de charges au sein du syndicat</w:t>
            </w:r>
          </w:p>
        </w:tc>
        <w:tc>
          <w:tcPr>
            <w:tcW w:type="pct" w:w="2500"/>
          </w:tcPr>
          <w:p>
            <w:pPr>
              <w:spacing w:after="40" w:before="40"/>
            </w:pPr>
            <w:r>
              <w:rPr>
                <w:rFonts w:ascii="Arial" w:cs="Arial" w:eastAsia="Arial" w:hAnsi="Arial"/>
                <w:color w:val="0E1F3A"/>
                <w:sz w:val="19"/>
                <w:szCs w:val="19"/>
              </w:rPr>
              <w:t xml:space="preserve">☐ Oui     ☐ Non     Montant : …………………………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Dette du syndicat vis-à-vis des fournisseurs</w:t>
            </w:r>
          </w:p>
        </w:tc>
        <w:tc>
          <w:tcPr>
            <w:tcW w:type="pct" w:w="2500"/>
          </w:tcPr>
          <w:p>
            <w:pPr>
              <w:spacing w:after="40" w:before="40"/>
            </w:pPr>
            <w:r>
              <w:rPr>
                <w:rFonts w:ascii="Arial" w:cs="Arial" w:eastAsia="Arial" w:hAnsi="Arial"/>
                <w:color w:val="0E1F3A"/>
                <w:sz w:val="19"/>
                <w:szCs w:val="19"/>
              </w:rPr>
              <w:t xml:space="preserve">☐ Oui     ☐ Non     Montant : …………………………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Part du fonds de travaux rattachée au lot</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Dernière cotisation au fonds de travaux versée par le vendeur</w:t>
            </w:r>
          </w:p>
        </w:tc>
        <w:tc>
          <w:tcPr>
            <w:tcW w:type="pct" w:w="1900"/>
          </w:tcPr>
          <w:p>
            <w:pPr>
              <w:spacing w:after="40" w:before="40"/>
              <w:jc w:val="right"/>
            </w:pPr>
            <w:r>
              <w:rPr>
                <w:rFonts w:ascii="Arial" w:cs="Arial" w:eastAsia="Arial" w:hAnsi="Arial"/>
                <w:color w:val="356098"/>
                <w:sz w:val="19"/>
                <w:szCs w:val="19"/>
              </w:rPr>
              <w:t xml:space="preserve">………………………… €</w:t>
            </w:r>
          </w:p>
        </w:tc>
      </w:tr>
    </w:tbl>
    <w:p>
      <w:pPr>
        <w:spacing w:after="120" w:before="80"/>
      </w:pPr>
      <w:r>
        <w:rPr>
          <w:rFonts w:ascii="Arial" w:cs="Arial" w:eastAsia="Arial" w:hAnsi="Arial"/>
          <w:i/>
          <w:iCs/>
          <w:color w:val="356098"/>
          <w:sz w:val="16"/>
          <w:szCs w:val="16"/>
        </w:rPr>
        <w:t xml:space="preserve">Après la vente, le notaire notifie la mutation au syndic, qui dispose de 15 jours pour former opposition au versement du prix pour les sommes restant dues par le vendeur (art. 20 de la loi du 10 juillet 1965).</w:t>
      </w:r>
    </w:p>
    <w:p>
      <w:pPr>
        <w:pBdr>
          <w:left w:val="single" w:color="0E1F3A" w:sz="24" w:space="4"/>
        </w:pBdr>
        <w:shd w:fill="0E1F3A" w:color="auto" w:val="clear"/>
        <w:spacing w:after="120" w:before="320"/>
      </w:pPr>
      <w:r>
        <w:rPr>
          <w:rFonts w:ascii="Arial" w:cs="Arial" w:eastAsia="Arial" w:hAnsi="Arial"/>
          <w:b/>
          <w:bCs/>
          <w:color w:val="FFFFFF"/>
          <w:sz w:val="22"/>
          <w:szCs w:val="22"/>
        </w:rPr>
        <w:t xml:space="preserve">Délivrance</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Délivré par le syndic le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Contact syndic / référence du dossier</w:t>
            </w:r>
          </w:p>
        </w:tc>
        <w:tc>
          <w:tcPr>
            <w:tcW w:type="pct" w:w="1900"/>
          </w:tcPr>
          <w:p>
            <w:pPr>
              <w:spacing w:after="40" w:before="40"/>
            </w:pPr>
            <w:r>
              <w:rPr>
                <w:rFonts w:ascii="Arial" w:cs="Arial" w:eastAsia="Arial" w:hAnsi="Arial"/>
                <w:color w:val="356098"/>
                <w:sz w:val="19"/>
                <w:szCs w:val="19"/>
              </w:rPr>
              <w:t xml:space="preserve">…………………………</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10106"/>
      </w:tblGrid>
      <w:tr>
        <w:trPr>
          <w:trHeight w:val="1600" w:hRule="atLeast"/>
        </w:trPr>
        <w:tc>
          <w:p>
            <w:pPr>
              <w:spacing w:after="40" w:before="40"/>
            </w:pPr>
            <w:r>
              <w:rPr>
                <w:rFonts w:ascii="Arial" w:cs="Arial" w:eastAsia="Arial" w:hAnsi="Arial"/>
                <w:color w:val="356098"/>
                <w:sz w:val="16"/>
                <w:szCs w:val="16"/>
              </w:rPr>
              <w:t xml:space="preserve">Cachet et signature du syndic</w:t>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356098"/>
        <w:sz w:val="14"/>
        <w:szCs w:val="14"/>
      </w:rPr>
      <w:t xml:space="preserve">Modèle gratuit etatdate.fr, à jour octobre 2026. Fourni à titre indicatif : vérifiez chaque montant à partir des documents de la copropriété.  —  page </w:t>
    </w:r>
    <w:r>
      <w:rPr>
        <w:rFonts w:ascii="Arial" w:cs="Arial" w:eastAsia="Arial" w:hAnsi="Arial"/>
        <w:color w:val="35609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d'état daté</dc:title>
  <dc:creator>etatdate.fr</dc:creator>
  <dc:description>Document établi par le syndic et adressé au notaire avant la signature de l'acte de vente d'un lot de copropriété</dc:description>
  <cp:lastModifiedBy>Un-named</cp:lastModifiedBy>
  <cp:revision>1</cp:revision>
  <dcterms:created xsi:type="dcterms:W3CDTF">2026-10-06T07:53:29.892Z</dcterms:created>
  <dcterms:modified xsi:type="dcterms:W3CDTF">2026-10-06T07:53:29.892Z</dcterms:modified>
</cp:coreProperties>
</file>

<file path=docProps/custom.xml><?xml version="1.0" encoding="utf-8"?>
<Properties xmlns="http://schemas.openxmlformats.org/officeDocument/2006/custom-properties" xmlns:vt="http://schemas.openxmlformats.org/officeDocument/2006/docPropsVTypes"/>
</file>